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24" w:rsidRDefault="009F3624" w:rsidP="009F3624">
      <w:pPr>
        <w:pStyle w:val="Heading3"/>
        <w:shd w:val="clear" w:color="auto" w:fill="FFFFFF"/>
        <w:rPr>
          <w:lang w:val="en"/>
        </w:rPr>
      </w:pPr>
      <w:bookmarkStart w:id="0" w:name="_GoBack"/>
      <w:bookmarkEnd w:id="0"/>
      <w:r>
        <w:rPr>
          <w:lang w:val="en"/>
        </w:rPr>
        <w:t>The Six Stages of Second-Language Acquisition</w:t>
      </w:r>
    </w:p>
    <w:p w:rsidR="009F3624" w:rsidRPr="00E17F57" w:rsidRDefault="009F3624" w:rsidP="009F3624">
      <w:pPr>
        <w:rPr>
          <w:lang w:val="en"/>
        </w:rPr>
      </w:pPr>
    </w:p>
    <w:tbl>
      <w:tblPr>
        <w:tblW w:w="9900" w:type="dxa"/>
        <w:tblCellSpacing w:w="0" w:type="dxa"/>
        <w:shd w:val="clear" w:color="auto" w:fill="CCCCCC"/>
        <w:tblCellMar>
          <w:left w:w="0" w:type="dxa"/>
          <w:right w:w="0" w:type="dxa"/>
        </w:tblCellMar>
        <w:tblLook w:val="04A0" w:firstRow="1" w:lastRow="0" w:firstColumn="1" w:lastColumn="0" w:noHBand="0" w:noVBand="1"/>
      </w:tblPr>
      <w:tblGrid>
        <w:gridCol w:w="1496"/>
        <w:gridCol w:w="8404"/>
      </w:tblGrid>
      <w:tr w:rsidR="009F3624" w:rsidTr="009F3624">
        <w:trPr>
          <w:tblCellSpacing w:w="0" w:type="dxa"/>
        </w:trPr>
        <w:tc>
          <w:tcPr>
            <w:tcW w:w="0" w:type="auto"/>
            <w:shd w:val="clear" w:color="auto" w:fill="F7E8A2"/>
            <w:tcMar>
              <w:top w:w="75" w:type="dxa"/>
              <w:left w:w="0" w:type="dxa"/>
              <w:bottom w:w="75" w:type="dxa"/>
              <w:right w:w="0" w:type="dxa"/>
            </w:tcMar>
            <w:vAlign w:val="center"/>
            <w:hideMark/>
          </w:tcPr>
          <w:p w:rsidR="009F3624" w:rsidRDefault="009F3624" w:rsidP="00474D1C">
            <w:pPr>
              <w:jc w:val="center"/>
              <w:rPr>
                <w:rFonts w:ascii="Verdana" w:hAnsi="Verdana"/>
                <w:b/>
                <w:bCs/>
                <w:color w:val="000000"/>
                <w:sz w:val="19"/>
                <w:szCs w:val="19"/>
              </w:rPr>
            </w:pPr>
            <w:r>
              <w:rPr>
                <w:rFonts w:ascii="Verdana" w:hAnsi="Verdana"/>
                <w:b/>
                <w:bCs/>
                <w:color w:val="000000"/>
                <w:sz w:val="19"/>
                <w:szCs w:val="19"/>
              </w:rPr>
              <w:t>Pre-production</w:t>
            </w:r>
          </w:p>
        </w:tc>
        <w:tc>
          <w:tcPr>
            <w:tcW w:w="8404" w:type="dxa"/>
            <w:shd w:val="clear" w:color="auto" w:fill="FDFBE7"/>
            <w:tcMar>
              <w:top w:w="75" w:type="dxa"/>
              <w:left w:w="75" w:type="dxa"/>
              <w:bottom w:w="75" w:type="dxa"/>
              <w:right w:w="75" w:type="dxa"/>
            </w:tcMar>
            <w:vAlign w:val="center"/>
            <w:hideMark/>
          </w:tcPr>
          <w:p w:rsidR="009F3624" w:rsidRDefault="009F3624" w:rsidP="00474D1C">
            <w:pPr>
              <w:rPr>
                <w:rFonts w:ascii="Verdana" w:hAnsi="Verdana"/>
                <w:color w:val="000000"/>
                <w:sz w:val="19"/>
                <w:szCs w:val="19"/>
              </w:rPr>
            </w:pPr>
            <w:r>
              <w:rPr>
                <w:rFonts w:ascii="Verdana" w:hAnsi="Verdana"/>
                <w:color w:val="000000"/>
                <w:sz w:val="19"/>
                <w:szCs w:val="19"/>
              </w:rPr>
              <w:t>This is also called "the silent period," when the student takes in the new language but does not speak it. This period often lasts six weeks or longer, depending on the individual.</w:t>
            </w:r>
          </w:p>
        </w:tc>
      </w:tr>
      <w:tr w:rsidR="009F3624" w:rsidTr="009F3624">
        <w:trPr>
          <w:tblCellSpacing w:w="0" w:type="dxa"/>
        </w:trPr>
        <w:tc>
          <w:tcPr>
            <w:tcW w:w="0" w:type="auto"/>
            <w:shd w:val="clear" w:color="auto" w:fill="F7E8A2"/>
            <w:tcMar>
              <w:top w:w="75" w:type="dxa"/>
              <w:left w:w="0" w:type="dxa"/>
              <w:bottom w:w="75" w:type="dxa"/>
              <w:right w:w="0" w:type="dxa"/>
            </w:tcMar>
            <w:vAlign w:val="center"/>
            <w:hideMark/>
          </w:tcPr>
          <w:p w:rsidR="009F3624" w:rsidRDefault="009F3624" w:rsidP="00474D1C">
            <w:pPr>
              <w:jc w:val="center"/>
              <w:rPr>
                <w:rFonts w:ascii="Verdana" w:hAnsi="Verdana"/>
                <w:b/>
                <w:bCs/>
                <w:color w:val="000000"/>
                <w:sz w:val="19"/>
                <w:szCs w:val="19"/>
              </w:rPr>
            </w:pPr>
            <w:r>
              <w:rPr>
                <w:rFonts w:ascii="Verdana" w:hAnsi="Verdana"/>
                <w:b/>
                <w:bCs/>
                <w:color w:val="000000"/>
                <w:sz w:val="19"/>
                <w:szCs w:val="19"/>
              </w:rPr>
              <w:t>Early production</w:t>
            </w:r>
          </w:p>
        </w:tc>
        <w:tc>
          <w:tcPr>
            <w:tcW w:w="8404" w:type="dxa"/>
            <w:shd w:val="clear" w:color="auto" w:fill="FDFBE7"/>
            <w:tcMar>
              <w:top w:w="75" w:type="dxa"/>
              <w:left w:w="75" w:type="dxa"/>
              <w:bottom w:w="75" w:type="dxa"/>
              <w:right w:w="75" w:type="dxa"/>
            </w:tcMar>
            <w:vAlign w:val="center"/>
            <w:hideMark/>
          </w:tcPr>
          <w:p w:rsidR="009F3624" w:rsidRDefault="009F3624" w:rsidP="00474D1C">
            <w:pPr>
              <w:rPr>
                <w:rFonts w:ascii="Verdana" w:hAnsi="Verdana"/>
                <w:color w:val="000000"/>
                <w:sz w:val="19"/>
                <w:szCs w:val="19"/>
              </w:rPr>
            </w:pPr>
            <w:r>
              <w:rPr>
                <w:rFonts w:ascii="Verdana" w:hAnsi="Verdana"/>
                <w:color w:val="000000"/>
                <w:sz w:val="19"/>
                <w:szCs w:val="19"/>
              </w:rPr>
              <w:t xml:space="preserve">The individual begins to speak using short words and sentences, but the emphasis is still on listening and absorbing the new language. There will be many errors in the early production stage. </w:t>
            </w:r>
          </w:p>
        </w:tc>
      </w:tr>
      <w:tr w:rsidR="009F3624" w:rsidTr="009F3624">
        <w:trPr>
          <w:tblCellSpacing w:w="0" w:type="dxa"/>
        </w:trPr>
        <w:tc>
          <w:tcPr>
            <w:tcW w:w="0" w:type="auto"/>
            <w:shd w:val="clear" w:color="auto" w:fill="F7E8A2"/>
            <w:tcMar>
              <w:top w:w="75" w:type="dxa"/>
              <w:left w:w="0" w:type="dxa"/>
              <w:bottom w:w="75" w:type="dxa"/>
              <w:right w:w="0" w:type="dxa"/>
            </w:tcMar>
            <w:vAlign w:val="center"/>
            <w:hideMark/>
          </w:tcPr>
          <w:p w:rsidR="009F3624" w:rsidRDefault="009F3624" w:rsidP="00474D1C">
            <w:pPr>
              <w:jc w:val="center"/>
              <w:rPr>
                <w:rFonts w:ascii="Verdana" w:hAnsi="Verdana"/>
                <w:b/>
                <w:bCs/>
                <w:color w:val="000000"/>
                <w:sz w:val="19"/>
                <w:szCs w:val="19"/>
              </w:rPr>
            </w:pPr>
            <w:r>
              <w:rPr>
                <w:rFonts w:ascii="Verdana" w:hAnsi="Verdana"/>
                <w:b/>
                <w:bCs/>
                <w:color w:val="000000"/>
                <w:sz w:val="19"/>
                <w:szCs w:val="19"/>
              </w:rPr>
              <w:t>Speech Emergent</w:t>
            </w:r>
          </w:p>
        </w:tc>
        <w:tc>
          <w:tcPr>
            <w:tcW w:w="8404" w:type="dxa"/>
            <w:shd w:val="clear" w:color="auto" w:fill="FDFBE7"/>
            <w:tcMar>
              <w:top w:w="75" w:type="dxa"/>
              <w:left w:w="75" w:type="dxa"/>
              <w:bottom w:w="75" w:type="dxa"/>
              <w:right w:w="75" w:type="dxa"/>
            </w:tcMar>
            <w:vAlign w:val="center"/>
            <w:hideMark/>
          </w:tcPr>
          <w:p w:rsidR="009F3624" w:rsidRDefault="009F3624" w:rsidP="00474D1C">
            <w:pPr>
              <w:rPr>
                <w:rFonts w:ascii="Verdana" w:hAnsi="Verdana"/>
                <w:color w:val="000000"/>
                <w:sz w:val="19"/>
                <w:szCs w:val="19"/>
              </w:rPr>
            </w:pPr>
            <w:r>
              <w:rPr>
                <w:rFonts w:ascii="Verdana" w:hAnsi="Verdana"/>
                <w:color w:val="000000"/>
                <w:sz w:val="19"/>
                <w:szCs w:val="19"/>
              </w:rPr>
              <w:t>Speech becomes more frequent, words and sentences are longer, but the individual still relies heavily on context clues and familiar topics. Vocabulary continues to increase and errors begin to decrease, especially in common or repeated interactions.</w:t>
            </w:r>
          </w:p>
        </w:tc>
      </w:tr>
      <w:tr w:rsidR="009F3624" w:rsidTr="009F3624">
        <w:trPr>
          <w:tblCellSpacing w:w="0" w:type="dxa"/>
        </w:trPr>
        <w:tc>
          <w:tcPr>
            <w:tcW w:w="0" w:type="auto"/>
            <w:shd w:val="clear" w:color="auto" w:fill="F7E8A2"/>
            <w:tcMar>
              <w:top w:w="75" w:type="dxa"/>
              <w:left w:w="0" w:type="dxa"/>
              <w:bottom w:w="75" w:type="dxa"/>
              <w:right w:w="0" w:type="dxa"/>
            </w:tcMar>
            <w:vAlign w:val="center"/>
            <w:hideMark/>
          </w:tcPr>
          <w:p w:rsidR="009F3624" w:rsidRDefault="009F3624" w:rsidP="00474D1C">
            <w:pPr>
              <w:jc w:val="center"/>
              <w:rPr>
                <w:rFonts w:ascii="Verdana" w:hAnsi="Verdana"/>
                <w:b/>
                <w:bCs/>
                <w:color w:val="000000"/>
                <w:sz w:val="19"/>
                <w:szCs w:val="19"/>
              </w:rPr>
            </w:pPr>
            <w:r>
              <w:rPr>
                <w:rFonts w:ascii="Verdana" w:hAnsi="Verdana"/>
                <w:b/>
                <w:bCs/>
                <w:color w:val="000000"/>
                <w:sz w:val="19"/>
                <w:szCs w:val="19"/>
              </w:rPr>
              <w:t>Beginning Fluency</w:t>
            </w:r>
          </w:p>
        </w:tc>
        <w:tc>
          <w:tcPr>
            <w:tcW w:w="8404" w:type="dxa"/>
            <w:shd w:val="clear" w:color="auto" w:fill="FDFBE7"/>
            <w:tcMar>
              <w:top w:w="75" w:type="dxa"/>
              <w:left w:w="75" w:type="dxa"/>
              <w:bottom w:w="75" w:type="dxa"/>
              <w:right w:w="75" w:type="dxa"/>
            </w:tcMar>
            <w:vAlign w:val="center"/>
            <w:hideMark/>
          </w:tcPr>
          <w:p w:rsidR="009F3624" w:rsidRDefault="009F3624" w:rsidP="00474D1C">
            <w:pPr>
              <w:rPr>
                <w:rFonts w:ascii="Verdana" w:hAnsi="Verdana"/>
                <w:color w:val="000000"/>
                <w:sz w:val="19"/>
                <w:szCs w:val="19"/>
              </w:rPr>
            </w:pPr>
            <w:r>
              <w:rPr>
                <w:rFonts w:ascii="Verdana" w:hAnsi="Verdana"/>
                <w:color w:val="000000"/>
                <w:sz w:val="19"/>
                <w:szCs w:val="19"/>
              </w:rPr>
              <w:t>Speech is fairly fluent in social situations with minimal errors. New contexts and academic language are challenging and the individual will struggle to express themselves due to gaps in vocabulary and appropriate phrases.</w:t>
            </w:r>
          </w:p>
        </w:tc>
      </w:tr>
      <w:tr w:rsidR="009F3624" w:rsidTr="009F3624">
        <w:trPr>
          <w:tblCellSpacing w:w="0" w:type="dxa"/>
        </w:trPr>
        <w:tc>
          <w:tcPr>
            <w:tcW w:w="0" w:type="auto"/>
            <w:shd w:val="clear" w:color="auto" w:fill="F7E8A2"/>
            <w:tcMar>
              <w:top w:w="75" w:type="dxa"/>
              <w:left w:w="0" w:type="dxa"/>
              <w:bottom w:w="75" w:type="dxa"/>
              <w:right w:w="0" w:type="dxa"/>
            </w:tcMar>
            <w:vAlign w:val="center"/>
            <w:hideMark/>
          </w:tcPr>
          <w:p w:rsidR="009F3624" w:rsidRDefault="009F3624" w:rsidP="00474D1C">
            <w:pPr>
              <w:jc w:val="center"/>
              <w:rPr>
                <w:rFonts w:ascii="Verdana" w:hAnsi="Verdana"/>
                <w:b/>
                <w:bCs/>
                <w:color w:val="000000"/>
                <w:sz w:val="19"/>
                <w:szCs w:val="19"/>
              </w:rPr>
            </w:pPr>
            <w:r>
              <w:rPr>
                <w:rFonts w:ascii="Verdana" w:hAnsi="Verdana"/>
                <w:b/>
                <w:bCs/>
                <w:color w:val="000000"/>
                <w:sz w:val="19"/>
                <w:szCs w:val="19"/>
              </w:rPr>
              <w:t>Intermediate Fluency</w:t>
            </w:r>
          </w:p>
        </w:tc>
        <w:tc>
          <w:tcPr>
            <w:tcW w:w="8404" w:type="dxa"/>
            <w:shd w:val="clear" w:color="auto" w:fill="FDFBE7"/>
            <w:tcMar>
              <w:top w:w="75" w:type="dxa"/>
              <w:left w:w="75" w:type="dxa"/>
              <w:bottom w:w="75" w:type="dxa"/>
              <w:right w:w="75" w:type="dxa"/>
            </w:tcMar>
            <w:vAlign w:val="center"/>
            <w:hideMark/>
          </w:tcPr>
          <w:p w:rsidR="009F3624" w:rsidRDefault="009F3624" w:rsidP="00474D1C">
            <w:pPr>
              <w:rPr>
                <w:rFonts w:ascii="Verdana" w:hAnsi="Verdana"/>
                <w:color w:val="000000"/>
                <w:sz w:val="19"/>
                <w:szCs w:val="19"/>
              </w:rPr>
            </w:pPr>
            <w:r>
              <w:rPr>
                <w:rFonts w:ascii="Verdana" w:hAnsi="Verdana"/>
                <w:color w:val="000000"/>
                <w:sz w:val="19"/>
                <w:szCs w:val="19"/>
              </w:rPr>
              <w:t>Communicating in the second language is fluent, especially in social language situations. The individual is able to speak almost fluently in new situations or in academic areas, but there will be gaps in vocabulary knowledge and some unknown expressions. There are very few errors, and the individual is able to demonstrate higher order thinking skills in the second language such as offering an opinion or analyzing a problem.</w:t>
            </w:r>
          </w:p>
        </w:tc>
      </w:tr>
      <w:tr w:rsidR="009F3624" w:rsidTr="009F3624">
        <w:trPr>
          <w:tblCellSpacing w:w="0" w:type="dxa"/>
        </w:trPr>
        <w:tc>
          <w:tcPr>
            <w:tcW w:w="0" w:type="auto"/>
            <w:shd w:val="clear" w:color="auto" w:fill="F7E8A2"/>
            <w:tcMar>
              <w:top w:w="75" w:type="dxa"/>
              <w:left w:w="0" w:type="dxa"/>
              <w:bottom w:w="75" w:type="dxa"/>
              <w:right w:w="0" w:type="dxa"/>
            </w:tcMar>
            <w:vAlign w:val="center"/>
            <w:hideMark/>
          </w:tcPr>
          <w:p w:rsidR="009F3624" w:rsidRDefault="009F3624" w:rsidP="00474D1C">
            <w:pPr>
              <w:jc w:val="center"/>
              <w:rPr>
                <w:rFonts w:ascii="Verdana" w:hAnsi="Verdana"/>
                <w:b/>
                <w:bCs/>
                <w:color w:val="000000"/>
                <w:sz w:val="19"/>
                <w:szCs w:val="19"/>
              </w:rPr>
            </w:pPr>
            <w:r>
              <w:rPr>
                <w:rFonts w:ascii="Verdana" w:hAnsi="Verdana"/>
                <w:b/>
                <w:bCs/>
                <w:color w:val="000000"/>
                <w:sz w:val="19"/>
                <w:szCs w:val="19"/>
              </w:rPr>
              <w:t>Advanced Fluency</w:t>
            </w:r>
          </w:p>
        </w:tc>
        <w:tc>
          <w:tcPr>
            <w:tcW w:w="8404" w:type="dxa"/>
            <w:shd w:val="clear" w:color="auto" w:fill="FDFBE7"/>
            <w:tcMar>
              <w:top w:w="75" w:type="dxa"/>
              <w:left w:w="75" w:type="dxa"/>
              <w:bottom w:w="75" w:type="dxa"/>
              <w:right w:w="75" w:type="dxa"/>
            </w:tcMar>
            <w:vAlign w:val="center"/>
            <w:hideMark/>
          </w:tcPr>
          <w:p w:rsidR="009F3624" w:rsidRDefault="009F3624" w:rsidP="00474D1C">
            <w:pPr>
              <w:rPr>
                <w:rFonts w:ascii="Verdana" w:hAnsi="Verdana"/>
                <w:color w:val="000000"/>
                <w:sz w:val="19"/>
                <w:szCs w:val="19"/>
              </w:rPr>
            </w:pPr>
            <w:r>
              <w:rPr>
                <w:rFonts w:ascii="Verdana" w:hAnsi="Verdana"/>
                <w:color w:val="000000"/>
                <w:sz w:val="19"/>
                <w:szCs w:val="19"/>
              </w:rPr>
              <w:t>The individual communicates fluently in all contexts and can maneuver successfully in new contexts and when exposed to new academic information. At this stage, the individual may still have an accent and use idiomatic expressions incorrectly at times, but the individual is essentially fluent and comfortable communicating in the second language.</w:t>
            </w:r>
          </w:p>
        </w:tc>
      </w:tr>
    </w:tbl>
    <w:p w:rsidR="009F3624" w:rsidRDefault="009F3624" w:rsidP="009F3624">
      <w:pPr>
        <w:pStyle w:val="NormalWeb"/>
        <w:shd w:val="clear" w:color="auto" w:fill="FFFFFF"/>
        <w:rPr>
          <w:sz w:val="19"/>
          <w:szCs w:val="19"/>
          <w:lang w:val="en"/>
        </w:rPr>
      </w:pPr>
    </w:p>
    <w:p w:rsidR="009F3624" w:rsidRDefault="009F3624" w:rsidP="009F3624">
      <w:pPr>
        <w:pStyle w:val="NormalWeb"/>
        <w:shd w:val="clear" w:color="auto" w:fill="FFFFFF"/>
        <w:rPr>
          <w:sz w:val="19"/>
          <w:szCs w:val="19"/>
          <w:lang w:val="en"/>
        </w:rPr>
      </w:pPr>
      <w:r>
        <w:rPr>
          <w:sz w:val="19"/>
          <w:szCs w:val="19"/>
          <w:lang w:val="en"/>
        </w:rPr>
        <w:t xml:space="preserve">How long does it take for a language learner to go through these stages? Just as in any other learning situation, it depends on the individual. One of the major contributors to accelerated second language learning is the strength of first language skills. </w:t>
      </w:r>
    </w:p>
    <w:p w:rsidR="003A5A34" w:rsidRDefault="003A5A34"/>
    <w:sectPr w:rsidR="003A5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24"/>
    <w:rsid w:val="003A5A34"/>
    <w:rsid w:val="007D0A83"/>
    <w:rsid w:val="009F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24"/>
  </w:style>
  <w:style w:type="paragraph" w:styleId="Heading3">
    <w:name w:val="heading 3"/>
    <w:basedOn w:val="Normal"/>
    <w:next w:val="Normal"/>
    <w:link w:val="Heading3Char"/>
    <w:uiPriority w:val="9"/>
    <w:semiHidden/>
    <w:unhideWhenUsed/>
    <w:qFormat/>
    <w:rsid w:val="009F36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F362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F3624"/>
    <w:pPr>
      <w:spacing w:after="0" w:line="240" w:lineRule="auto"/>
    </w:pPr>
    <w:rPr>
      <w:rFonts w:ascii="Verdana" w:eastAsia="Times New Roman" w:hAnsi="Verdan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24"/>
  </w:style>
  <w:style w:type="paragraph" w:styleId="Heading3">
    <w:name w:val="heading 3"/>
    <w:basedOn w:val="Normal"/>
    <w:next w:val="Normal"/>
    <w:link w:val="Heading3Char"/>
    <w:uiPriority w:val="9"/>
    <w:semiHidden/>
    <w:unhideWhenUsed/>
    <w:qFormat/>
    <w:rsid w:val="009F36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F362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F3624"/>
    <w:pPr>
      <w:spacing w:after="0" w:line="240" w:lineRule="auto"/>
    </w:pPr>
    <w:rPr>
      <w:rFonts w:ascii="Verdana" w:eastAsia="Times New Roman"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Pina</dc:creator>
  <cp:lastModifiedBy>alaptop</cp:lastModifiedBy>
  <cp:revision>2</cp:revision>
  <dcterms:created xsi:type="dcterms:W3CDTF">2013-11-02T16:15:00Z</dcterms:created>
  <dcterms:modified xsi:type="dcterms:W3CDTF">2013-11-02T16:15:00Z</dcterms:modified>
</cp:coreProperties>
</file>